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283</w:t>
      </w:r>
    </w:p>
    <w:p>
      <w:r>
        <w:t>Bundesgericht (BGE), 1991-06-21, DE</w:t>
      </w:r>
    </w:p>
    <w:p>
      <w:r>
        <w:rPr>
          <w:b/>
        </w:rPr>
        <w:t xml:space="preserve">Quelle: </w:t>
      </w:r>
      <w:r>
        <w:t>https://mcp.opencaselaw.ch/entscheid/bge_117 IV 283</w:t>
      </w:r>
    </w:p>
    <w:p>
      <w:r>
        <w:t>FR: ATF 117 IV 283</w:t>
      </w:r>
    </w:p>
    <w:p>
      <w:r>
        <w:t>IT: DTF 117 IV 283</w:t>
      </w:r>
    </w:p>
    <w:p>
      <w:pPr>
        <w:pStyle w:val="Heading2"/>
      </w:pPr>
      <w:r>
        <w:t>Regeste</w:t>
      </w:r>
    </w:p>
    <w:p>
      <w:r>
        <w:t>Regeste Art. 204 StGB; unzüchtige Veröffentlichungen. Die Darstellung einer Vergewaltigung in einem pornographischen Erzeugnis verletzt Art. 204 StGB.</w:t>
      </w:r>
    </w:p>
    <w:p>
      <w:pPr>
        <w:pStyle w:val="Heading2"/>
      </w:pPr>
      <w:r>
        <w:t>Erwägungen</w:t>
      </w:r>
    </w:p>
    <w:p>
      <w:r>
        <w:rPr>
          <w:b/>
        </w:rPr>
        <w:t>E. 2</w:t>
      </w:r>
    </w:p>
    <w:p>
      <w:r>
        <w:t>a) In beiden in Frage stehenden Filmen - deren Handlung im wesentlichen nur der Überleitung von einer Sexszene zur anderen dient - wird der heterosexuelle Geschlechtsverkehr zwischen mehreren, zum Teil wechselnden Personen in verschiedenen Stellungen gezeigt, wobei der Film "Motel Sex Room Service" Gruppensex-Szenen enthält. Dargestellt werden in beiden Filmen im übrigen insbesondere auch Fellatio und Cunnilingus. Ejakulationen werden nicht gezeigt. Die Vorinstanz liess offen, ob Geschlechtsteile oder geschlechtliche Handlungen in Grossaufnahme zu sehen sind. Sadistische, masochistische oder sonst brutale oder abartige Sexualpraktiken (z.B. mit Kindern, Tieren, Ausscheidungen etc.) werden nicht dargestellt. Der Film "Motel Sex Room Service" enthält allerdings eine Szene, in der - nach der Darstellung des Bezirksgerichtes - "eine Frau von ihrem Ehemann in der Küche vergewaltigt wird".</w:t>
      </w:r>
    </w:p>
    <w:p>
      <w:r>
        <w:rPr>
          <w:b/>
        </w:rPr>
        <w:t>E. 4</w:t>
      </w:r>
    </w:p>
    <w:p>
      <w:r>
        <w:t>c) ... Auch dieser, durch das Bundesgericht ebenfalls visionierte Film stellt auf weite Strecken zwar ein pornographisches Werk dar, an dem bei Vorführung an entsprechend vorbereitete Besucher im Alter über 18 Jahre der Durchschnittsbürger aufgrund der gewandelten Anschauungen aber keinen Anstoss nimmt. Die geschilderte Szene in der Küche, die im kantonalen Verfahren zu Recht als eine Vergewaltigung bezeichnet wurde, verletzt hingegen auch unter den gegebenen Voraussetzungen der Vorführung das Sittlichkeitsgefühl des normal empfindenden Bürgers. Es wird die Gewaltanwendung gegenüber einer Frau gezeigt und diese zudem in einer Art und Weise thematisiert, die durch ihre Verharmlosung die Frau erniedrigt sowie infolge der Andeutungen, die Anwendung von Gewalt steigere das Lustempfinden, abzulehnen ist. Solche Darstellungen verstossen auch nach der geänderten Rechtsprechung in nicht leicht zu nehmender Weise gegen das Sittlichkeitsempfinden, so dass das angefochtene Urteil insoweit Bundesrecht nicht verletzt, als der Beschwerdeführer wegen der Vorführung des Films "Motel Sex Room Service" der BGE 117 IV 283 S. 285 unzüchtigen Veröffentlichung gemäss Art. 204 StGB schuldig befunden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